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техническим вопросам –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</w:t>
      </w:r>
      <w:r>
        <w:rPr>
          <w:rFonts w:ascii="Times New Roman" w:hAnsi="Times New Roman"/>
          <w:sz w:val="26"/>
          <w:szCs w:val="26"/>
        </w:rPr>
        <w:t xml:space="preserve">А.И. Таранков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________________2025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2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ТЕХНИЧЕСКОЕ ЗАДАНИЕ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jc w:val="center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поставку </w:t>
      </w:r>
      <w:r>
        <w:rPr>
          <w:rFonts w:ascii="Tinos" w:hAnsi="Tinos" w:eastAsia="Tinos" w:cs="Tinos"/>
          <w:sz w:val="24"/>
          <w:szCs w:val="24"/>
        </w:rPr>
        <w:t xml:space="preserve">средств защиты головы, рук, органов зрения, слуха, дыхания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52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left="0" w:right="0"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</w:t>
      </w:r>
      <w:r>
        <w:rPr>
          <w:rFonts w:ascii="Tinos" w:hAnsi="Tinos" w:eastAsia="Tinos" w:cs="Tinos"/>
          <w:sz w:val="24"/>
          <w:szCs w:val="24"/>
        </w:rPr>
        <w:t xml:space="preserve">Россети Сибирь </w:t>
      </w:r>
      <w:r>
        <w:rPr>
          <w:rFonts w:ascii="Tinos" w:hAnsi="Tinos" w:eastAsia="Tinos" w:cs="Tinos"/>
          <w:sz w:val="24"/>
          <w:szCs w:val="24"/>
        </w:rPr>
        <w:t xml:space="preserve">Тываэнерго»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1.2 Предмет закупки: поставка </w:t>
      </w:r>
      <w:r>
        <w:rPr>
          <w:rFonts w:ascii="Tinos" w:hAnsi="Tinos" w:eastAsia="Tinos" w:cs="Tinos"/>
          <w:sz w:val="24"/>
          <w:szCs w:val="24"/>
        </w:rPr>
        <w:t xml:space="preserve">средств защиты головы, рук, органов зрения, слуха, дыхания.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56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Место поставки: Центральный склад, г. Кызыл, ул. Колхозная, 2</w:t>
      </w:r>
      <w:r>
        <w:rPr>
          <w:rFonts w:ascii="Tinos" w:hAnsi="Tinos" w:eastAsia="Tinos" w:cs="Tinos"/>
          <w:sz w:val="24"/>
          <w:szCs w:val="24"/>
        </w:rPr>
        <w:t xml:space="preserve">б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contextualSpacing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Поставка продукции осуществляется </w:t>
      </w:r>
      <w:r>
        <w:rPr>
          <w:rFonts w:ascii="Tinos" w:hAnsi="Tinos" w:eastAsia="Tinos" w:cs="Tinos"/>
          <w:sz w:val="24"/>
          <w:szCs w:val="24"/>
        </w:rPr>
        <w:t xml:space="preserve">до места поставки силами и средствами поставщика.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contextualSpacing/>
        <w:ind w:firstLine="709"/>
        <w:jc w:val="both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</w:t>
      </w:r>
      <w:r>
        <w:rPr>
          <w:rFonts w:ascii="Tinos" w:hAnsi="Tinos" w:eastAsia="Tinos" w:cs="Tinos"/>
          <w:sz w:val="24"/>
          <w:szCs w:val="24"/>
        </w:rPr>
        <w:t xml:space="preserve">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2.3 </w:t>
      </w:r>
      <w:r>
        <w:rPr>
          <w:rFonts w:ascii="Tinos" w:hAnsi="Tinos" w:eastAsia="Tinos" w:cs="Tinos"/>
          <w:sz w:val="24"/>
          <w:szCs w:val="24"/>
        </w:rPr>
        <w:t xml:space="preserve">Срок поста</w:t>
      </w:r>
      <w:r>
        <w:rPr>
          <w:rFonts w:ascii="Tinos" w:hAnsi="Tinos" w:eastAsia="Tinos" w:cs="Tinos"/>
          <w:sz w:val="24"/>
          <w:szCs w:val="24"/>
        </w:rPr>
        <w:t xml:space="preserve">вки: в </w:t>
      </w:r>
      <w:r>
        <w:rPr>
          <w:rFonts w:ascii="Tinos" w:hAnsi="Tinos" w:eastAsia="Tinos" w:cs="Tinos"/>
          <w:sz w:val="24"/>
          <w:szCs w:val="24"/>
        </w:rPr>
        <w:t xml:space="preserve">течение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30 календарных дней с даты заключения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Цена, перечень и объемы поставки Продукции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</w:t>
      </w:r>
      <w:r/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3.2. </w:t>
      </w:r>
      <w:r>
        <w:rPr>
          <w:rFonts w:ascii="Tinos" w:hAnsi="Tinos" w:eastAsia="Tinos" w:cs="Tinos"/>
          <w:sz w:val="24"/>
          <w:szCs w:val="24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</w:t>
      </w:r>
      <w:r>
        <w:rPr>
          <w:rFonts w:ascii="Tinos" w:hAnsi="Tinos" w:eastAsia="Tinos" w:cs="Tinos"/>
          <w:sz w:val="24"/>
          <w:szCs w:val="24"/>
        </w:rPr>
        <w:t xml:space="preserve">, стоимость тары и упаковки, гарантийные обязательства.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4. Общие технические требования к поставляемой продукции.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4.1. </w:t>
      </w:r>
      <w:r>
        <w:rPr>
          <w:rFonts w:ascii="Tinos" w:hAnsi="Tinos" w:eastAsia="Tinos" w:cs="Tinos"/>
          <w:sz w:val="24"/>
          <w:szCs w:val="24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4.2.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3. Продукция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внесенная в Единый перечень продукции, подлежащей обязательной сертификации </w:t>
      </w:r>
      <w:r>
        <w:rPr>
          <w:rFonts w:ascii="Tinos" w:hAnsi="Tinos" w:eastAsia="Tinos" w:cs="Tinos"/>
          <w:sz w:val="24"/>
          <w:szCs w:val="24"/>
        </w:rPr>
        <w:t xml:space="preserve">должна иметь сертификаты соответствия </w:t>
      </w:r>
      <w:r>
        <w:rPr>
          <w:rFonts w:ascii="Tinos" w:hAnsi="Tinos" w:eastAsia="Tinos" w:cs="Tinos"/>
          <w:sz w:val="24"/>
          <w:szCs w:val="24"/>
        </w:rPr>
        <w:t xml:space="preserve">ГОСТ Р.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4.4.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иметь иные </w:t>
      </w:r>
      <w:r>
        <w:rPr>
          <w:rFonts w:ascii="Tinos" w:hAnsi="Tinos" w:eastAsia="Tinos" w:cs="Tinos"/>
          <w:sz w:val="24"/>
          <w:szCs w:val="24"/>
        </w:rPr>
        <w:t xml:space="preserve">сертификаты (сертификат соответствия требованиям ТР ТС 019/2011).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5. </w:t>
      </w:r>
      <w:r>
        <w:rPr>
          <w:rFonts w:ascii="Tinos" w:hAnsi="Tinos" w:eastAsia="Tinos" w:cs="Tinos"/>
          <w:sz w:val="24"/>
          <w:szCs w:val="24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4"/>
          <w:szCs w:val="24"/>
        </w:rPr>
        <w:t xml:space="preserve">аркировк</w:t>
      </w:r>
      <w:r>
        <w:rPr>
          <w:rFonts w:ascii="Tinos" w:hAnsi="Tinos" w:eastAsia="Tinos" w:cs="Tinos"/>
          <w:sz w:val="24"/>
          <w:szCs w:val="24"/>
        </w:rPr>
        <w:t xml:space="preserve">ой, обеспечивающей потребителя полной информацией о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продукции</w:t>
      </w:r>
      <w:r>
        <w:rPr>
          <w:rFonts w:ascii="Tinos" w:hAnsi="Tinos" w:eastAsia="Tinos" w:cs="Tinos"/>
          <w:sz w:val="24"/>
          <w:szCs w:val="24"/>
        </w:rPr>
        <w:t xml:space="preserve"> (</w:t>
      </w:r>
      <w:r>
        <w:rPr>
          <w:rFonts w:ascii="Tinos" w:hAnsi="Tinos" w:eastAsia="Tinos" w:cs="Tinos"/>
          <w:sz w:val="24"/>
          <w:szCs w:val="24"/>
        </w:rPr>
        <w:t xml:space="preserve">иметь четкие обозначения изготовителя, номера партии и даты изготовления</w:t>
      </w:r>
      <w:r>
        <w:rPr>
          <w:rFonts w:ascii="Tinos" w:hAnsi="Tinos" w:eastAsia="Tinos" w:cs="Tinos"/>
          <w:sz w:val="24"/>
          <w:szCs w:val="24"/>
        </w:rPr>
        <w:t xml:space="preserve"> и т.д.)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cs="Tinos"/>
          <w:i/>
          <w:sz w:val="24"/>
          <w:szCs w:val="24"/>
        </w:rPr>
      </w:r>
      <w:r>
        <w:rPr>
          <w:rFonts w:ascii="Tinos" w:hAnsi="Tinos" w:cs="Tinos"/>
          <w:i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Маркировка должна располагаться на продукции или на ее упаковке,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состоять из общепринятых знаков и символов, описательная часть </w:t>
      </w:r>
      <w:r>
        <w:rPr>
          <w:rFonts w:ascii="Tinos" w:hAnsi="Tinos" w:eastAsia="Tinos" w:cs="Tinos"/>
          <w:sz w:val="24"/>
          <w:szCs w:val="24"/>
        </w:rPr>
        <w:t xml:space="preserve">выполняться на русском языке, иметь четкие обозначения</w:t>
      </w:r>
      <w:r>
        <w:rPr>
          <w:rFonts w:ascii="Tinos" w:hAnsi="Tinos" w:eastAsia="Tinos" w:cs="Tinos"/>
          <w:sz w:val="24"/>
          <w:szCs w:val="24"/>
        </w:rPr>
        <w:t xml:space="preserve"> и сохраняться на весь срок службы поставляемой продукции.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4.6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5. 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</w:t>
      </w:r>
      <w:r>
        <w:rPr>
          <w:rFonts w:ascii="Tinos" w:hAnsi="Tinos" w:eastAsia="Tinos" w:cs="Tinos"/>
          <w:sz w:val="24"/>
          <w:szCs w:val="24"/>
        </w:rPr>
        <w:t xml:space="preserve">. Предоставление российских сертификатов (декларации/свидетельства) в соответствии с п.4.4 настоящего технического задания.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6. Гарантийные обязательства. 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6.1. </w:t>
      </w:r>
      <w:r>
        <w:rPr>
          <w:rFonts w:ascii="Tinos" w:hAnsi="Tinos" w:eastAsia="Tinos" w:cs="Tinos"/>
          <w:sz w:val="24"/>
          <w:szCs w:val="24"/>
        </w:rPr>
        <w:t xml:space="preserve">Срок гарантии на поставляемые материалы должен быть не менее 1 года. Время начала исчисления гарантийного срока – с момента поставки продукции на склад Заказчика.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</w:t>
      </w:r>
      <w:r>
        <w:rPr>
          <w:rFonts w:ascii="Tinos" w:hAnsi="Tinos" w:eastAsia="Tinos" w:cs="Tinos"/>
          <w:sz w:val="24"/>
          <w:szCs w:val="24"/>
        </w:rPr>
        <w:t xml:space="preserve"> на период устранения дефектов (п</w:t>
      </w:r>
      <w:r>
        <w:rPr>
          <w:rFonts w:ascii="Tinos" w:hAnsi="Tinos" w:eastAsia="Tinos" w:cs="Tinos"/>
          <w:sz w:val="24"/>
          <w:szCs w:val="24"/>
        </w:rPr>
        <w:t xml:space="preserve">оставщик гарантирует, что характеристи</w:t>
      </w:r>
      <w:r>
        <w:rPr>
          <w:rFonts w:ascii="Tinos" w:hAnsi="Tinos" w:eastAsia="Tinos" w:cs="Tinos"/>
          <w:sz w:val="24"/>
          <w:szCs w:val="24"/>
        </w:rPr>
        <w:t xml:space="preserve">ки поставляемого товара, соответствуют характеристикам, установленным в ТЗ,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Заказчик</w:t>
      </w:r>
      <w:r>
        <w:rPr>
          <w:rFonts w:ascii="Tinos" w:hAnsi="Tinos" w:eastAsia="Tinos" w:cs="Tinos"/>
          <w:sz w:val="24"/>
          <w:szCs w:val="24"/>
        </w:rPr>
        <w:t xml:space="preserve">а Поставщик обязан в течение 3 (трех) рабочих дней представить Заказчику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Заказчик вправе провести соответствующую то</w:t>
      </w:r>
      <w:r>
        <w:rPr>
          <w:rFonts w:ascii="Tinos" w:hAnsi="Tinos" w:eastAsia="Tinos" w:cs="Tinos"/>
          <w:sz w:val="24"/>
          <w:szCs w:val="24"/>
        </w:rPr>
        <w:t xml:space="preserve">варную экспертизу на предмет выявления соответствия скрытых характеристик контрольных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</w:t>
      </w:r>
      <w:r>
        <w:rPr>
          <w:rFonts w:ascii="Tinos" w:hAnsi="Tinos" w:eastAsia="Tinos" w:cs="Tinos"/>
          <w:sz w:val="24"/>
          <w:szCs w:val="24"/>
        </w:rPr>
        <w:t xml:space="preserve">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568"/>
        <w:jc w:val="both"/>
        <w:tabs>
          <w:tab w:val="left" w:pos="0" w:leader="none"/>
        </w:tabs>
        <w:rPr>
          <w:rFonts w:ascii="Tinos" w:hAnsi="Tinos" w:cs="Tinos"/>
          <w:sz w:val="24"/>
          <w:szCs w:val="24"/>
          <w:highlight w:val="yellow"/>
        </w:rPr>
      </w:pPr>
      <w:r>
        <w:rPr>
          <w:rFonts w:ascii="Tinos" w:hAnsi="Tinos" w:eastAsia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</w:p>
    <w:p>
      <w:pPr>
        <w:pStyle w:val="899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7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. Правила приемки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Вся поставляемая продукция </w:t>
      </w:r>
      <w:r>
        <w:rPr>
          <w:rFonts w:ascii="Tinos" w:hAnsi="Tinos" w:eastAsia="Tinos" w:cs="Tinos"/>
          <w:sz w:val="24"/>
          <w:szCs w:val="24"/>
        </w:rPr>
        <w:t xml:space="preserve">проходит входной контроль, осуществляемый представителями </w:t>
      </w:r>
      <w:r>
        <w:rPr>
          <w:rFonts w:ascii="Tinos" w:hAnsi="Tinos" w:eastAsia="Tinos" w:cs="Tinos"/>
          <w:sz w:val="24"/>
          <w:szCs w:val="24"/>
        </w:rPr>
        <w:t xml:space="preserve">АО «Россети Сибирь Тываэнерго»</w:t>
      </w:r>
      <w:r>
        <w:rPr>
          <w:rFonts w:ascii="Tinos" w:hAnsi="Tinos" w:eastAsia="Tinos" w:cs="Tinos"/>
          <w:sz w:val="24"/>
          <w:szCs w:val="24"/>
        </w:rPr>
        <w:t xml:space="preserve"> при</w:t>
      </w:r>
      <w:r>
        <w:rPr>
          <w:rFonts w:ascii="Tinos" w:hAnsi="Tinos" w:eastAsia="Tinos" w:cs="Tinos"/>
          <w:sz w:val="24"/>
          <w:szCs w:val="24"/>
        </w:rPr>
        <w:t xml:space="preserve"> получении на склад.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Приемка продукции по качеству производится в соответствии </w:t>
      </w:r>
      <w:r>
        <w:rPr>
          <w:rFonts w:ascii="Tinos" w:hAnsi="Tinos" w:eastAsia="Tinos" w:cs="Tinos"/>
          <w:sz w:val="24"/>
          <w:szCs w:val="24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Приемка продукции по количеству производится в соответствии </w:t>
      </w:r>
      <w:r>
        <w:rPr>
          <w:rFonts w:ascii="Tinos" w:hAnsi="Tinos" w:eastAsia="Tinos" w:cs="Tinos"/>
          <w:sz w:val="24"/>
          <w:szCs w:val="24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внешний осмотр тары и упаковки: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hAnsi="Tinos" w:eastAsia="Tinos" w:cs="Tinos"/>
          <w:sz w:val="24"/>
          <w:szCs w:val="24"/>
        </w:rPr>
        <w:t xml:space="preserve">;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tabs>
          <w:tab w:val="left" w:pos="8789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tabs>
          <w:tab w:val="left" w:pos="8789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9"/>
        <w:jc w:val="both"/>
        <w:tabs>
          <w:tab w:val="left" w:pos="8789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99"/>
        <w:ind w:firstLine="70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833"/>
        <w:gridCol w:w="1276"/>
        <w:gridCol w:w="1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9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№ 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9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Дата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center"/>
            <w:textDirection w:val="lrTb"/>
            <w:noWrap w:val="false"/>
          </w:tcPr>
          <w:p>
            <w:pPr>
              <w:pStyle w:val="899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Должность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9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Подпись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9"/>
              <w:contextualSpacing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ФИО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главного инженера – начальник УПБиПК ПАО «Россети Сибирь»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Е.А. Вельман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главного инженера – начальник СПБиПК АО «Россети Сибирь Тываэнерго»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Н.Н. Кудрявцев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89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Начальник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ОЛиМТО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899"/>
              <w:tabs>
                <w:tab w:val="left" w:pos="8789" w:leader="none"/>
              </w:tabs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В.В. Власов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pStyle w:val="950"/>
        <w:ind w:left="0"/>
        <w:jc w:val="both"/>
        <w:spacing w:after="0" w:line="240" w:lineRule="auto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2"/>
        <w:jc w:val="both"/>
        <w:rPr>
          <w:rFonts w:ascii="Times New Roman" w:hAnsi="Times New Roman"/>
          <w:sz w:val="26"/>
          <w:szCs w:val="26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99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Приложение №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9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9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9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Технические характеристики и требования на спецобувь.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467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3"/>
        <w:gridCol w:w="2538"/>
        <w:gridCol w:w="2312"/>
        <w:gridCol w:w="6368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продукции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4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Соответствие ГОСТ, 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center"/>
            <w:textDirection w:val="lrTb"/>
            <w:noWrap w:val="false"/>
          </w:tcPr>
          <w:p>
            <w:pPr>
              <w:pStyle w:val="899"/>
              <w:ind w:firstLine="42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Технические характеристики требуемое значение параметра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1124" w:type="pct"/>
            <w:vAlign w:val="center"/>
            <w:textDirection w:val="lrTb"/>
            <w:noWrap w:val="false"/>
          </w:tcPr>
          <w:p>
            <w:pPr>
              <w:pStyle w:val="899"/>
              <w:ind w:firstLine="42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для защиты от искр и брызг расплавленного металла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"javascript:;" \o "Устано</w:instrText>
            </w:r>
            <w:r>
              <w:rPr>
                <w:sz w:val="20"/>
                <w:szCs w:val="20"/>
              </w:rPr>
              <w:instrText xml:space="preserve">в</w:instrText>
            </w:r>
            <w:r>
              <w:rPr>
                <w:sz w:val="20"/>
                <w:szCs w:val="20"/>
              </w:rPr>
              <w:instrText xml:space="preserve">ленные у Вас продукты не содержат этого документа. Обратитесь в сервисный центр"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921"/>
                <w:color w:val="000000"/>
                <w:sz w:val="20"/>
                <w:szCs w:val="20"/>
                <w:u w:val="none"/>
                <w:shd w:val="clear" w:color="auto" w:fill="ffffff"/>
              </w:rPr>
              <w:t xml:space="preserve">ГОСТ Р ИСО 11611-2011</w:t>
            </w:r>
            <w:r>
              <w:rPr>
                <w:rStyle w:val="921"/>
                <w:color w:val="000000"/>
                <w:sz w:val="20"/>
                <w:szCs w:val="20"/>
                <w:u w:val="none"/>
                <w:shd w:val="clear" w:color="auto" w:fill="ffffff"/>
              </w:rPr>
              <w:fldChar w:fldCharType="end"/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удлиненные кроеные из кожевенного спилка, с термоизоляционной подкладкой; с усилением из кожевенного спилка на ладонной части и большом пальце; прошитые нитью из параарамидной пряжи; со сплошной манжетой-крагой.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основа: воловий спилок класса А+, прошитая нитью из синтетической (параарамидной) пряжи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покрытие: воловий спилок класса А+ на ладонной части и большом пальце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подкладка: </w:t>
            </w:r>
            <w:r>
              <w:rPr>
                <w:sz w:val="22"/>
                <w:szCs w:val="22"/>
              </w:rPr>
              <w:t xml:space="preserve">из трикотажного полотна с начесом на ладонной части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манжет: сплошная удлиненная крага с подкладкой из хлопчатобумажной ткани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длина изделия: не менее 350 мм толщина: не менее 1,4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утепленные для защиты от искр и брызг расплавленного металла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ИСО 11611-2011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удлиненные кроеные из кожеве</w:t>
            </w:r>
            <w:r>
              <w:rPr>
                <w:sz w:val="22"/>
                <w:szCs w:val="22"/>
              </w:rPr>
              <w:t xml:space="preserve">нного спилка, с подкладкой из трикотажного полотна с начесом на ладонной части; с усилением из кожевенного спилка на ладонной части и большом пальце; прошитые нитью из параарамидной пряжи; со сплошной манжетой-крагой с подкладкой из хлопчатобумажной ткани.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основа: воловий спилок класса А+, прошитая нитью из синтетической (параарамидной) пряжи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покрытие: воловий спилок класса А+ на ладонной части и большом пальце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подкладка: </w:t>
            </w:r>
            <w:r>
              <w:rPr>
                <w:sz w:val="22"/>
                <w:szCs w:val="22"/>
              </w:rPr>
              <w:t xml:space="preserve">искусственный мех из трикотажного полотна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манжет: сплошная удлиненная крага с подкладкой из хлопчатобумажной ткани</w:t>
            </w:r>
            <w:r>
              <w:rPr>
                <w:sz w:val="22"/>
                <w:szCs w:val="22"/>
              </w:rPr>
              <w:t xml:space="preserve">. Д</w:t>
            </w:r>
            <w:r>
              <w:rPr>
                <w:sz w:val="22"/>
                <w:szCs w:val="22"/>
              </w:rPr>
              <w:t xml:space="preserve">лина изделия: не менее 350 мм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толщина: не менее 1,4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с полимерным покрытием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12.4.252-2013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95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Универсальные защитные перчатки от механических повреждений (порезов, проколов, истирания), высококачественное нитриловое покрытие. Маслобензостойкие, водонепроницаемые, антистатические свойства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Техническое описание: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бесшовные на трикотажной основе из смешанной пряжи; с полимерным текстурированным покрытием ладонной части и верхней части пальцев на тыльной стороне; с вязаным трикотажным напульсником с двойным оверлоком.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основа: бесшовная из хлопкополиэфирной пряжи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плотность (класс) вязки: 10 петель/дюйм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покрытие: из текстурированного латекса ладонной части и верхней части пальцев на тыльной стороне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манжет: вязаный напульсник с двойным оверлоком, длина изделия: не менее 250-260 мм (в зависимости от размера).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69" w:type="pct"/>
            <w:vAlign w:val="center"/>
            <w:vMerge w:val="restart"/>
            <w:textDirection w:val="lrTb"/>
            <w:noWrap w:val="false"/>
          </w:tcPr>
          <w:p>
            <w:pPr>
              <w:pStyle w:val="8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с полимерным покрытием морозостойкие с утепляющими вкладышами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ГОСТ 12.4.010-75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Универсальные защитные перчатки, утепленные от механических воздействий (порезов, проколов, истирания), высококачественное нитриловое покрытие. Маслобензостойкие, водонепроницаемые, антистатические свойства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с полимерным покрытием морозостойкие с утепляющими вкладышами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Техническое описание: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у</w:t>
            </w:r>
            <w:r>
              <w:rPr>
                <w:sz w:val="22"/>
                <w:szCs w:val="22"/>
              </w:rPr>
              <w:t xml:space="preserve">тепленные пятипалые бесшовные на трикотажной основе; с текстурированным полимерным покрытием ладонной части и верхней части пальцев на тыльной стороне; с утепляющей подкладкой из трикотажного полотна; с вязаным трикотажным напульсником с двойным оверлоком.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основа: бесшовная из полиамидной пряжи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плотность (класс) вязки основы: 13 петель/дюйм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подкладка: из акриловых волокон с начесом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плотность (класс) вязки подкладки: 7 петель/дюйм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покрытие: текстурированные гидропеллентное поливинилхлоридное покрытие ладонной части и верхней части пальцев на тыльной стороне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манжет: вязаный напульсник с двойным оверлоком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длина изделия: не менее 240-270 мм (в зависимости от размера).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Маска сварщика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12.4.254-2013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95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из нейлона, устойчивый к прогоранию, низким температурам и ударным воздействиям. Наголовное крепление с плавной регулировкой</w:t>
            </w:r>
            <w:r>
              <w:rPr>
                <w:sz w:val="22"/>
                <w:szCs w:val="22"/>
              </w:rPr>
              <w:t xml:space="preserve"> размера и мягким обтюратором. Ручная регулировка степени затемнения.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Очки защитные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12.4.001-80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89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Очки универсального применения со сферическими защитными стеклами из оптически прозрачного поликарбоната, с твердым покрытием от истирания и царапания.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89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Надежная защита глаз от </w:t>
            </w:r>
            <w:r>
              <w:rPr>
                <w:color w:val="000000"/>
                <w:sz w:val="22"/>
                <w:szCs w:val="22"/>
              </w:rPr>
              <w:t xml:space="preserve">высокоскоростных летящих частиц с низкоэнергетическим ударом 0,84 Дж при температуре от -50°Cдо +80°C, абразива, УФ-излучения, устойчивы к химическим веществам, растворам кислот и щелочей. Оптический класс 1; Масса – не более 20 г.; Облегающая форма очков;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Отсутствие давления заушников;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89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Дополнительно комплектуются обтюратором для работ в холодное время.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955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Защитное стекло из прозрачного бесцветного ударопрочного и термостойкого листового поликарбоната с двусторонним твердым покрытием. Защитное стекло обеспечивает защиту от высокоскоростных частиц, капель жидкостей и оптического излучения;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Наушники противошумные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 xml:space="preserve">EN</w:t>
            </w:r>
            <w:r>
              <w:rPr>
                <w:sz w:val="22"/>
                <w:szCs w:val="22"/>
              </w:rPr>
              <w:t xml:space="preserve"> 13819-1-2021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955"/>
              <w:keepNext w:val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Состоят из двух обтюраторов, двух прокладок, двух держателей и оголовья. Масса не более 300 г. Обладают избирательным поглощением уровня шума, защищают от прои</w:t>
            </w:r>
            <w:r>
              <w:rPr>
                <w:sz w:val="22"/>
                <w:szCs w:val="22"/>
              </w:rPr>
              <w:t xml:space="preserve">з</w:t>
            </w:r>
            <w:r>
              <w:rPr>
                <w:sz w:val="22"/>
                <w:szCs w:val="22"/>
              </w:rPr>
              <w:t xml:space="preserve">водственного шума, но дают возможность различать речь и сигналы опасности. Поглощение шума в соответствии с требованиями ГОСТ </w:t>
            </w:r>
            <w:r>
              <w:rPr>
                <w:sz w:val="22"/>
                <w:szCs w:val="22"/>
                <w:lang w:val="en-US"/>
              </w:rPr>
              <w:t xml:space="preserve">EN</w:t>
            </w:r>
            <w:r>
              <w:rPr>
                <w:sz w:val="22"/>
                <w:szCs w:val="22"/>
              </w:rPr>
              <w:t xml:space="preserve"> 13819-1-2021.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резиновые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20010-93,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ТУ 2544-49-05747264-94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пленочные удлиненные, из натурального каучука, без напыления с внутренней стороны (неопудренные); с текстурой на пальцах и ладонной части; с прямой скатанной манжетой.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основа: латекс (натуральный каучук), хлорированный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внутренняя поверхность: без напыления (неопудренные)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манжет: прямой скатанный (валик)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длина изделия: удлиненные, не менее 300 мм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толщина: 0,28 мм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Средство СИЗОД противоа</w:t>
            </w:r>
            <w:r>
              <w:rPr>
                <w:color w:val="000000"/>
                <w:sz w:val="22"/>
                <w:szCs w:val="22"/>
              </w:rPr>
              <w:t xml:space="preserve">эроз</w:t>
            </w:r>
            <w:r>
              <w:rPr>
                <w:color w:val="000000"/>
                <w:sz w:val="22"/>
                <w:szCs w:val="22"/>
              </w:rPr>
              <w:t xml:space="preserve">ольное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95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12.4.041-2001,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95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12.4.191-2011,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955"/>
              <w:keepNext w:val="0"/>
              <w:widowControl w:val="off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 xml:space="preserve">ГОСТ Р 12.4.244-2013, </w:t>
            </w:r>
            <w:r>
              <w:rPr>
                <w:color w:val="222222"/>
                <w:sz w:val="22"/>
                <w:szCs w:val="22"/>
              </w:rPr>
            </w:r>
            <w:r>
              <w:rPr>
                <w:color w:val="222222"/>
                <w:sz w:val="22"/>
                <w:szCs w:val="22"/>
              </w:rPr>
            </w:r>
          </w:p>
          <w:p>
            <w:pPr>
              <w:pStyle w:val="899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ГОСТ</w:t>
            </w:r>
            <w:r>
              <w:rPr>
                <w:color w:val="000000"/>
                <w:sz w:val="22"/>
                <w:szCs w:val="22"/>
              </w:rPr>
              <w:t xml:space="preserve"> 12.4.293-2015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89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Средство индивидуальной защиты орг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нов дыхания (СИЗОД) противоаэрозол</w:t>
            </w:r>
            <w:r>
              <w:rPr>
                <w:sz w:val="22"/>
                <w:szCs w:val="22"/>
              </w:rPr>
              <w:t xml:space="preserve">ь</w:t>
            </w:r>
            <w:r>
              <w:rPr>
                <w:sz w:val="22"/>
                <w:szCs w:val="22"/>
              </w:rPr>
              <w:t xml:space="preserve">ное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Применяется для защиты органов дыхания от различных видов аэрозолей, присутс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  <w:t xml:space="preserve">вующих в воздухе при концентрации не более 200 мг/м².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r>
              <w:t xml:space="preserve">Рукавицы брезентовые брезент наладонник</w:t>
            </w:r>
            <w:r/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12.4.010-75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contextualSpacing/>
              <w:ind w:left="0" w:right="0" w:firstLine="0"/>
              <w:spacing w:before="0" w:after="0" w:line="240" w:lineRule="auto"/>
              <w:rPr>
                <w:rFonts w:ascii="Tinos" w:hAnsi="Tinos" w:cs="Tinos"/>
                <w:color w:val="000000" w:themeColor="text1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Рукавицы хлопчатобумажные с брезентовым наладонником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для защиты рук от механических повреждений.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0"/>
              <w:spacing w:before="0" w:after="0" w:line="240" w:lineRule="auto"/>
              <w:rPr>
                <w:rFonts w:ascii="Tinos" w:hAnsi="Tinos" w:cs="Tinos"/>
                <w:color w:val="000000" w:themeColor="text1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Состав: основной материал 100% х/б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«двунитка» с плотностью 240 г/м2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;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н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а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л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а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д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о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н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н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и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к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  <w:highlight w:val="white"/>
              </w:rPr>
              <w:t xml:space="preserve">брезент 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69" w:type="pct"/>
            <w:vAlign w:val="center"/>
            <w:vMerge w:val="restart"/>
            <w:textDirection w:val="lrTb"/>
            <w:noWrap w:val="false"/>
          </w:tcPr>
          <w:p>
            <w:pPr>
              <w:pStyle w:val="9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трикотажные от ОПЗ с ПВХ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vMerge w:val="restart"/>
            <w:textDirection w:val="lrTb"/>
            <w:noWrap w:val="false"/>
          </w:tcPr>
          <w:p>
            <w:pPr>
              <w:pStyle w:val="95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 ТС 019/2011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95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Р 12.4.252-2013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04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Состав: 70% хлопок, 30% полиэфир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Покрытие: ПВХ точки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9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вязки: 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vMerge w:val="restart"/>
            <w:textDirection w:val="lrTb"/>
            <w:noWrap w:val="false"/>
          </w:tcPr>
          <w:p>
            <w:pPr>
              <w:pStyle w:val="8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99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89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6838" w:h="11906" w:orient="landscape"/>
      <w:pgMar w:top="1243" w:right="426" w:bottom="521" w:left="42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imSun">
    <w:panose1 w:val="02010600030101010101"/>
  </w:font>
  <w:font w:name="&amp;quot;Times New Roman&amp;quot;,&amp;quot;serif&amp;quot;">
    <w:panose1 w:val="02000603000000000000"/>
  </w:font>
  <w:font w:name="Tinos">
    <w:panose1 w:val="02000603000000000000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separate"/>
    </w:r>
    <w:r>
      <w:rPr>
        <w:rStyle w:val="928"/>
      </w:rPr>
      <w:t xml:space="preserve">6</w: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</w:r>
    <w:r>
      <w:rPr>
        <w:rStyle w:val="928"/>
      </w:rPr>
    </w:r>
    <w:r>
      <w:rPr>
        <w:rStyle w:val="928"/>
      </w:rPr>
    </w:r>
  </w:p>
  <w:p>
    <w:pPr>
      <w:pStyle w:val="92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separate"/>
    </w:r>
    <w:r>
      <w:rPr>
        <w:rStyle w:val="928"/>
      </w:rPr>
      <w:t xml:space="preserve">2</w: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>
    <w:name w:val="Heading 1"/>
    <w:basedOn w:val="899"/>
    <w:next w:val="899"/>
    <w:link w:val="72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2">
    <w:name w:val="Heading 1 Char"/>
    <w:link w:val="721"/>
    <w:uiPriority w:val="9"/>
    <w:rPr>
      <w:rFonts w:ascii="Arial" w:hAnsi="Arial" w:eastAsia="Arial" w:cs="Arial"/>
      <w:sz w:val="40"/>
      <w:szCs w:val="40"/>
    </w:rPr>
  </w:style>
  <w:style w:type="paragraph" w:styleId="723">
    <w:name w:val="Heading 2"/>
    <w:basedOn w:val="899"/>
    <w:next w:val="899"/>
    <w:link w:val="72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4">
    <w:name w:val="Heading 2 Char"/>
    <w:link w:val="723"/>
    <w:uiPriority w:val="9"/>
    <w:rPr>
      <w:rFonts w:ascii="Arial" w:hAnsi="Arial" w:eastAsia="Arial" w:cs="Arial"/>
      <w:sz w:val="34"/>
    </w:rPr>
  </w:style>
  <w:style w:type="paragraph" w:styleId="725">
    <w:name w:val="Heading 3"/>
    <w:basedOn w:val="899"/>
    <w:next w:val="899"/>
    <w:link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6">
    <w:name w:val="Heading 3 Char"/>
    <w:link w:val="725"/>
    <w:uiPriority w:val="9"/>
    <w:rPr>
      <w:rFonts w:ascii="Arial" w:hAnsi="Arial" w:eastAsia="Arial" w:cs="Arial"/>
      <w:sz w:val="30"/>
      <w:szCs w:val="30"/>
    </w:rPr>
  </w:style>
  <w:style w:type="paragraph" w:styleId="727">
    <w:name w:val="Heading 4"/>
    <w:basedOn w:val="899"/>
    <w:next w:val="899"/>
    <w:link w:val="7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8">
    <w:name w:val="Heading 4 Char"/>
    <w:link w:val="727"/>
    <w:uiPriority w:val="9"/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899"/>
    <w:next w:val="899"/>
    <w:link w:val="7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0">
    <w:name w:val="Heading 5 Char"/>
    <w:link w:val="729"/>
    <w:uiPriority w:val="9"/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899"/>
    <w:next w:val="899"/>
    <w:link w:val="7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2">
    <w:name w:val="Heading 6 Char"/>
    <w:link w:val="731"/>
    <w:uiPriority w:val="9"/>
    <w:rPr>
      <w:rFonts w:ascii="Arial" w:hAnsi="Arial" w:eastAsia="Arial" w:cs="Arial"/>
      <w:b/>
      <w:bCs/>
      <w:sz w:val="22"/>
      <w:szCs w:val="22"/>
    </w:rPr>
  </w:style>
  <w:style w:type="paragraph" w:styleId="733">
    <w:name w:val="Heading 7"/>
    <w:basedOn w:val="899"/>
    <w:next w:val="899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4">
    <w:name w:val="Heading 7 Char"/>
    <w:link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5">
    <w:name w:val="Heading 8"/>
    <w:basedOn w:val="899"/>
    <w:next w:val="899"/>
    <w:link w:val="7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6">
    <w:name w:val="Heading 8 Char"/>
    <w:link w:val="735"/>
    <w:uiPriority w:val="9"/>
    <w:rPr>
      <w:rFonts w:ascii="Arial" w:hAnsi="Arial" w:eastAsia="Arial" w:cs="Arial"/>
      <w:i/>
      <w:iCs/>
      <w:sz w:val="22"/>
      <w:szCs w:val="22"/>
    </w:rPr>
  </w:style>
  <w:style w:type="paragraph" w:styleId="737">
    <w:name w:val="Heading 9"/>
    <w:basedOn w:val="899"/>
    <w:next w:val="899"/>
    <w:link w:val="73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>
    <w:name w:val="Heading 9 Char"/>
    <w:link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List Paragraph"/>
    <w:basedOn w:val="899"/>
    <w:uiPriority w:val="34"/>
    <w:qFormat/>
    <w:pPr>
      <w:contextualSpacing/>
      <w:ind w:left="720"/>
    </w:pPr>
  </w:style>
  <w:style w:type="paragraph" w:styleId="740">
    <w:name w:val="No Spacing"/>
    <w:uiPriority w:val="1"/>
    <w:qFormat/>
    <w:pPr>
      <w:spacing w:before="0" w:after="0" w:line="240" w:lineRule="auto"/>
    </w:pPr>
  </w:style>
  <w:style w:type="paragraph" w:styleId="741">
    <w:name w:val="Title"/>
    <w:basedOn w:val="899"/>
    <w:next w:val="899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>
    <w:name w:val="Title Char"/>
    <w:link w:val="741"/>
    <w:uiPriority w:val="10"/>
    <w:rPr>
      <w:sz w:val="48"/>
      <w:szCs w:val="48"/>
    </w:rPr>
  </w:style>
  <w:style w:type="paragraph" w:styleId="743">
    <w:name w:val="Subtitle"/>
    <w:basedOn w:val="899"/>
    <w:next w:val="899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>
    <w:name w:val="Subtitle Char"/>
    <w:link w:val="743"/>
    <w:uiPriority w:val="11"/>
    <w:rPr>
      <w:sz w:val="24"/>
      <w:szCs w:val="24"/>
    </w:rPr>
  </w:style>
  <w:style w:type="paragraph" w:styleId="745">
    <w:name w:val="Quote"/>
    <w:basedOn w:val="899"/>
    <w:next w:val="899"/>
    <w:link w:val="746"/>
    <w:uiPriority w:val="29"/>
    <w:qFormat/>
    <w:pPr>
      <w:ind w:left="720" w:right="720"/>
    </w:pPr>
    <w:rPr>
      <w:i/>
    </w:rPr>
  </w:style>
  <w:style w:type="character" w:styleId="746">
    <w:name w:val="Quote Char"/>
    <w:link w:val="745"/>
    <w:uiPriority w:val="29"/>
    <w:rPr>
      <w:i/>
    </w:rPr>
  </w:style>
  <w:style w:type="paragraph" w:styleId="747">
    <w:name w:val="Intense Quote"/>
    <w:basedOn w:val="899"/>
    <w:next w:val="899"/>
    <w:link w:val="74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>
    <w:name w:val="Intense Quote Char"/>
    <w:link w:val="747"/>
    <w:uiPriority w:val="30"/>
    <w:rPr>
      <w:i/>
    </w:rPr>
  </w:style>
  <w:style w:type="paragraph" w:styleId="749">
    <w:name w:val="Header"/>
    <w:basedOn w:val="899"/>
    <w:link w:val="7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0">
    <w:name w:val="Header Char"/>
    <w:link w:val="749"/>
    <w:uiPriority w:val="99"/>
  </w:style>
  <w:style w:type="paragraph" w:styleId="751">
    <w:name w:val="Footer"/>
    <w:basedOn w:val="899"/>
    <w:link w:val="75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2">
    <w:name w:val="Footer Char"/>
    <w:link w:val="751"/>
    <w:uiPriority w:val="99"/>
  </w:style>
  <w:style w:type="paragraph" w:styleId="753">
    <w:name w:val="Caption"/>
    <w:basedOn w:val="899"/>
    <w:next w:val="899"/>
    <w:link w:val="7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4">
    <w:name w:val="Caption Char"/>
    <w:link w:val="753"/>
    <w:uiPriority w:val="35"/>
    <w:rPr>
      <w:b/>
      <w:bCs/>
      <w:color w:val="4f81bd" w:themeColor="accent1"/>
      <w:sz w:val="18"/>
      <w:szCs w:val="18"/>
    </w:rPr>
  </w:style>
  <w:style w:type="table" w:styleId="75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1">
    <w:name w:val="Hyperlink"/>
    <w:uiPriority w:val="99"/>
    <w:unhideWhenUsed/>
    <w:rPr>
      <w:color w:val="0000ff" w:themeColor="hyperlink"/>
      <w:u w:val="single"/>
    </w:rPr>
  </w:style>
  <w:style w:type="paragraph" w:styleId="882">
    <w:name w:val="footnote text"/>
    <w:basedOn w:val="899"/>
    <w:link w:val="883"/>
    <w:uiPriority w:val="99"/>
    <w:semiHidden/>
    <w:unhideWhenUsed/>
    <w:pPr>
      <w:spacing w:after="40" w:line="240" w:lineRule="auto"/>
    </w:pPr>
    <w:rPr>
      <w:sz w:val="18"/>
    </w:rPr>
  </w:style>
  <w:style w:type="character" w:styleId="883">
    <w:name w:val="Footnote Text Char"/>
    <w:link w:val="882"/>
    <w:uiPriority w:val="99"/>
    <w:rPr>
      <w:sz w:val="18"/>
    </w:rPr>
  </w:style>
  <w:style w:type="character" w:styleId="884">
    <w:name w:val="footnote reference"/>
    <w:uiPriority w:val="99"/>
    <w:unhideWhenUsed/>
    <w:rPr>
      <w:vertAlign w:val="superscript"/>
    </w:rPr>
  </w:style>
  <w:style w:type="paragraph" w:styleId="885">
    <w:name w:val="endnote text"/>
    <w:basedOn w:val="899"/>
    <w:link w:val="886"/>
    <w:uiPriority w:val="99"/>
    <w:semiHidden/>
    <w:unhideWhenUsed/>
    <w:pPr>
      <w:spacing w:after="0" w:line="240" w:lineRule="auto"/>
    </w:pPr>
    <w:rPr>
      <w:sz w:val="20"/>
    </w:rPr>
  </w:style>
  <w:style w:type="character" w:styleId="886">
    <w:name w:val="Endnote Text Char"/>
    <w:link w:val="885"/>
    <w:uiPriority w:val="99"/>
    <w:rPr>
      <w:sz w:val="20"/>
    </w:rPr>
  </w:style>
  <w:style w:type="character" w:styleId="887">
    <w:name w:val="endnote reference"/>
    <w:uiPriority w:val="99"/>
    <w:semiHidden/>
    <w:unhideWhenUsed/>
    <w:rPr>
      <w:vertAlign w:val="superscript"/>
    </w:rPr>
  </w:style>
  <w:style w:type="paragraph" w:styleId="888">
    <w:name w:val="toc 1"/>
    <w:basedOn w:val="899"/>
    <w:next w:val="899"/>
    <w:uiPriority w:val="39"/>
    <w:unhideWhenUsed/>
    <w:pPr>
      <w:ind w:left="0" w:right="0" w:firstLine="0"/>
      <w:spacing w:after="57"/>
    </w:pPr>
  </w:style>
  <w:style w:type="paragraph" w:styleId="889">
    <w:name w:val="toc 2"/>
    <w:basedOn w:val="899"/>
    <w:next w:val="899"/>
    <w:uiPriority w:val="39"/>
    <w:unhideWhenUsed/>
    <w:pPr>
      <w:ind w:left="283" w:right="0" w:firstLine="0"/>
      <w:spacing w:after="57"/>
    </w:pPr>
  </w:style>
  <w:style w:type="paragraph" w:styleId="890">
    <w:name w:val="toc 3"/>
    <w:basedOn w:val="899"/>
    <w:next w:val="899"/>
    <w:uiPriority w:val="39"/>
    <w:unhideWhenUsed/>
    <w:pPr>
      <w:ind w:left="567" w:right="0" w:firstLine="0"/>
      <w:spacing w:after="57"/>
    </w:pPr>
  </w:style>
  <w:style w:type="paragraph" w:styleId="891">
    <w:name w:val="toc 4"/>
    <w:basedOn w:val="899"/>
    <w:next w:val="899"/>
    <w:uiPriority w:val="39"/>
    <w:unhideWhenUsed/>
    <w:pPr>
      <w:ind w:left="850" w:right="0" w:firstLine="0"/>
      <w:spacing w:after="57"/>
    </w:pPr>
  </w:style>
  <w:style w:type="paragraph" w:styleId="892">
    <w:name w:val="toc 5"/>
    <w:basedOn w:val="899"/>
    <w:next w:val="899"/>
    <w:uiPriority w:val="39"/>
    <w:unhideWhenUsed/>
    <w:pPr>
      <w:ind w:left="1134" w:right="0" w:firstLine="0"/>
      <w:spacing w:after="57"/>
    </w:pPr>
  </w:style>
  <w:style w:type="paragraph" w:styleId="893">
    <w:name w:val="toc 6"/>
    <w:basedOn w:val="899"/>
    <w:next w:val="899"/>
    <w:uiPriority w:val="39"/>
    <w:unhideWhenUsed/>
    <w:pPr>
      <w:ind w:left="1417" w:right="0" w:firstLine="0"/>
      <w:spacing w:after="57"/>
    </w:pPr>
  </w:style>
  <w:style w:type="paragraph" w:styleId="894">
    <w:name w:val="toc 7"/>
    <w:basedOn w:val="899"/>
    <w:next w:val="899"/>
    <w:uiPriority w:val="39"/>
    <w:unhideWhenUsed/>
    <w:pPr>
      <w:ind w:left="1701" w:right="0" w:firstLine="0"/>
      <w:spacing w:after="57"/>
    </w:pPr>
  </w:style>
  <w:style w:type="paragraph" w:styleId="895">
    <w:name w:val="toc 8"/>
    <w:basedOn w:val="899"/>
    <w:next w:val="899"/>
    <w:uiPriority w:val="39"/>
    <w:unhideWhenUsed/>
    <w:pPr>
      <w:ind w:left="1984" w:right="0" w:firstLine="0"/>
      <w:spacing w:after="57"/>
    </w:pPr>
  </w:style>
  <w:style w:type="paragraph" w:styleId="896">
    <w:name w:val="toc 9"/>
    <w:basedOn w:val="899"/>
    <w:next w:val="899"/>
    <w:uiPriority w:val="39"/>
    <w:unhideWhenUsed/>
    <w:pPr>
      <w:ind w:left="2268" w:right="0" w:firstLine="0"/>
      <w:spacing w:after="57"/>
    </w:pPr>
  </w:style>
  <w:style w:type="paragraph" w:styleId="897">
    <w:name w:val="TOC Heading"/>
    <w:uiPriority w:val="39"/>
    <w:unhideWhenUsed/>
  </w:style>
  <w:style w:type="paragraph" w:styleId="898">
    <w:name w:val="table of figures"/>
    <w:basedOn w:val="899"/>
    <w:next w:val="899"/>
    <w:uiPriority w:val="99"/>
    <w:unhideWhenUsed/>
    <w:pPr>
      <w:spacing w:after="0" w:afterAutospacing="0"/>
    </w:pPr>
  </w:style>
  <w:style w:type="paragraph" w:styleId="899" w:default="1">
    <w:name w:val="Normal"/>
    <w:next w:val="899"/>
    <w:link w:val="899"/>
    <w:qFormat/>
    <w:rPr>
      <w:sz w:val="24"/>
      <w:szCs w:val="24"/>
      <w:lang w:val="ru-RU" w:eastAsia="ru-RU" w:bidi="ar-SA"/>
    </w:rPr>
  </w:style>
  <w:style w:type="paragraph" w:styleId="900">
    <w:name w:val="Заголовок 1"/>
    <w:next w:val="899"/>
    <w:link w:val="899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1">
    <w:name w:val="Заголовок 2"/>
    <w:next w:val="899"/>
    <w:link w:val="899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02">
    <w:name w:val="Заголовок 3"/>
    <w:basedOn w:val="899"/>
    <w:next w:val="899"/>
    <w:link w:val="8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3">
    <w:name w:val="Заголовок 4"/>
    <w:next w:val="899"/>
    <w:link w:val="899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04">
    <w:name w:val="Заголовок 5"/>
    <w:next w:val="899"/>
    <w:link w:val="899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05">
    <w:name w:val="Заголовок 6"/>
    <w:next w:val="899"/>
    <w:link w:val="899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06">
    <w:name w:val="Заголовок 7"/>
    <w:basedOn w:val="900"/>
    <w:next w:val="899"/>
    <w:link w:val="899"/>
    <w:qFormat/>
    <w:pPr>
      <w:jc w:val="right"/>
      <w:outlineLvl w:val="6"/>
    </w:pPr>
  </w:style>
  <w:style w:type="paragraph" w:styleId="907">
    <w:name w:val="Заголовок 8"/>
    <w:basedOn w:val="899"/>
    <w:next w:val="899"/>
    <w:link w:val="899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08">
    <w:name w:val="Заголовок 9"/>
    <w:basedOn w:val="899"/>
    <w:next w:val="899"/>
    <w:link w:val="899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09">
    <w:name w:val="Основной шрифт абзаца"/>
    <w:next w:val="909"/>
    <w:link w:val="899"/>
    <w:semiHidden/>
  </w:style>
  <w:style w:type="table" w:styleId="910">
    <w:name w:val="Обычная таблица"/>
    <w:next w:val="910"/>
    <w:link w:val="899"/>
    <w:semiHidden/>
    <w:tblPr/>
  </w:style>
  <w:style w:type="numbering" w:styleId="911">
    <w:name w:val="Нет списка"/>
    <w:next w:val="911"/>
    <w:link w:val="899"/>
    <w:semiHidden/>
  </w:style>
  <w:style w:type="paragraph" w:styleId="912">
    <w:name w:val="Оглавление 1"/>
    <w:basedOn w:val="899"/>
    <w:next w:val="899"/>
    <w:link w:val="899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13">
    <w:name w:val="Оглавление 2"/>
    <w:basedOn w:val="899"/>
    <w:next w:val="899"/>
    <w:link w:val="899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14">
    <w:name w:val="Оглавление 3"/>
    <w:basedOn w:val="899"/>
    <w:next w:val="899"/>
    <w:link w:val="899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15">
    <w:name w:val="Оглавление 4"/>
    <w:basedOn w:val="899"/>
    <w:next w:val="899"/>
    <w:link w:val="899"/>
    <w:semiHidden/>
    <w:pPr>
      <w:ind w:left="720"/>
    </w:pPr>
    <w:rPr>
      <w:sz w:val="20"/>
      <w:szCs w:val="20"/>
    </w:rPr>
  </w:style>
  <w:style w:type="paragraph" w:styleId="916">
    <w:name w:val="Оглавление 5"/>
    <w:basedOn w:val="899"/>
    <w:next w:val="899"/>
    <w:link w:val="899"/>
    <w:semiHidden/>
    <w:pPr>
      <w:ind w:left="960"/>
    </w:pPr>
    <w:rPr>
      <w:sz w:val="20"/>
      <w:szCs w:val="20"/>
    </w:rPr>
  </w:style>
  <w:style w:type="paragraph" w:styleId="917">
    <w:name w:val="Оглавление 6"/>
    <w:basedOn w:val="899"/>
    <w:next w:val="899"/>
    <w:link w:val="899"/>
    <w:semiHidden/>
    <w:pPr>
      <w:ind w:left="1200"/>
    </w:pPr>
    <w:rPr>
      <w:sz w:val="20"/>
      <w:szCs w:val="20"/>
    </w:rPr>
  </w:style>
  <w:style w:type="paragraph" w:styleId="918">
    <w:name w:val="Оглавление 7"/>
    <w:basedOn w:val="899"/>
    <w:next w:val="899"/>
    <w:link w:val="899"/>
    <w:semiHidden/>
    <w:pPr>
      <w:ind w:left="1440"/>
    </w:pPr>
    <w:rPr>
      <w:sz w:val="20"/>
      <w:szCs w:val="20"/>
    </w:rPr>
  </w:style>
  <w:style w:type="paragraph" w:styleId="919">
    <w:name w:val="Оглавление 8"/>
    <w:basedOn w:val="899"/>
    <w:next w:val="899"/>
    <w:link w:val="899"/>
    <w:semiHidden/>
    <w:pPr>
      <w:ind w:left="1680"/>
    </w:pPr>
    <w:rPr>
      <w:sz w:val="20"/>
      <w:szCs w:val="20"/>
    </w:rPr>
  </w:style>
  <w:style w:type="paragraph" w:styleId="920">
    <w:name w:val="Оглавление 9"/>
    <w:basedOn w:val="899"/>
    <w:next w:val="899"/>
    <w:link w:val="899"/>
    <w:semiHidden/>
    <w:pPr>
      <w:ind w:left="1920"/>
    </w:pPr>
    <w:rPr>
      <w:sz w:val="20"/>
      <w:szCs w:val="20"/>
    </w:rPr>
  </w:style>
  <w:style w:type="character" w:styleId="921">
    <w:name w:val="Гиперссылка"/>
    <w:next w:val="921"/>
    <w:link w:val="899"/>
    <w:uiPriority w:val="99"/>
    <w:rPr>
      <w:color w:val="0000ff"/>
      <w:u w:val="single"/>
    </w:rPr>
  </w:style>
  <w:style w:type="paragraph" w:styleId="922">
    <w:name w:val="Основной текст с отступом 2"/>
    <w:basedOn w:val="899"/>
    <w:next w:val="922"/>
    <w:link w:val="899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23">
    <w:name w:val="Обычный + Первая строка:  1,03 см"/>
    <w:basedOn w:val="899"/>
    <w:next w:val="923"/>
    <w:link w:val="899"/>
    <w:pPr>
      <w:ind w:left="-22" w:firstLine="594"/>
      <w:jc w:val="both"/>
    </w:pPr>
  </w:style>
  <w:style w:type="paragraph" w:styleId="924">
    <w:name w:val="ТекстОбычный"/>
    <w:next w:val="924"/>
    <w:link w:val="899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25">
    <w:name w:val="Основной текст с отступом"/>
    <w:basedOn w:val="899"/>
    <w:next w:val="925"/>
    <w:link w:val="899"/>
    <w:pPr>
      <w:ind w:left="283"/>
      <w:spacing w:after="120"/>
    </w:pPr>
  </w:style>
  <w:style w:type="paragraph" w:styleId="926">
    <w:name w:val="Основной текст с отступом + По ширине,Первая строка:  0 см,Слева:  0 см"/>
    <w:basedOn w:val="925"/>
    <w:next w:val="926"/>
    <w:link w:val="899"/>
    <w:pPr>
      <w:ind w:left="0" w:firstLine="572"/>
      <w:jc w:val="both"/>
    </w:pPr>
  </w:style>
  <w:style w:type="paragraph" w:styleId="927">
    <w:name w:val="Нижний колонтитул"/>
    <w:basedOn w:val="899"/>
    <w:next w:val="927"/>
    <w:link w:val="899"/>
    <w:pPr>
      <w:tabs>
        <w:tab w:val="center" w:pos="4677" w:leader="none"/>
        <w:tab w:val="right" w:pos="9355" w:leader="none"/>
      </w:tabs>
    </w:pPr>
  </w:style>
  <w:style w:type="character" w:styleId="928">
    <w:name w:val="Номер страницы"/>
    <w:basedOn w:val="909"/>
    <w:next w:val="928"/>
    <w:link w:val="899"/>
  </w:style>
  <w:style w:type="paragraph" w:styleId="929">
    <w:name w:val="Основной текст"/>
    <w:basedOn w:val="899"/>
    <w:next w:val="929"/>
    <w:link w:val="899"/>
    <w:pPr>
      <w:spacing w:after="120"/>
    </w:pPr>
  </w:style>
  <w:style w:type="paragraph" w:styleId="930">
    <w:name w:val="Основной текст 2"/>
    <w:basedOn w:val="899"/>
    <w:next w:val="930"/>
    <w:link w:val="899"/>
    <w:pPr>
      <w:spacing w:after="120" w:line="480" w:lineRule="auto"/>
    </w:pPr>
  </w:style>
  <w:style w:type="paragraph" w:styleId="931">
    <w:name w:val="М_списокКрСтрока"/>
    <w:basedOn w:val="899"/>
    <w:next w:val="931"/>
    <w:link w:val="899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32">
    <w:name w:val="Н_Список0"/>
    <w:basedOn w:val="924"/>
    <w:next w:val="932"/>
    <w:link w:val="899"/>
    <w:pPr>
      <w:numPr>
        <w:ilvl w:val="11"/>
        <w:numId w:val="0"/>
      </w:numPr>
      <w:ind w:firstLine="0"/>
    </w:pPr>
  </w:style>
  <w:style w:type="paragraph" w:styleId="933">
    <w:name w:val="Основной текст с отступом 3"/>
    <w:basedOn w:val="899"/>
    <w:next w:val="933"/>
    <w:link w:val="899"/>
    <w:pPr>
      <w:ind w:left="283"/>
      <w:spacing w:after="120"/>
    </w:pPr>
    <w:rPr>
      <w:sz w:val="16"/>
      <w:szCs w:val="16"/>
    </w:rPr>
  </w:style>
  <w:style w:type="paragraph" w:styleId="934">
    <w:name w:val="Текст выноски"/>
    <w:basedOn w:val="899"/>
    <w:next w:val="934"/>
    <w:link w:val="899"/>
    <w:semiHidden/>
    <w:rPr>
      <w:rFonts w:ascii="Tahoma" w:hAnsi="Tahoma" w:cs="Tahoma"/>
      <w:sz w:val="16"/>
      <w:szCs w:val="16"/>
    </w:rPr>
  </w:style>
  <w:style w:type="paragraph" w:styleId="935">
    <w:name w:val="М_Список1.5"/>
    <w:basedOn w:val="899"/>
    <w:next w:val="935"/>
    <w:link w:val="899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36">
    <w:name w:val="Верхний колонтитул"/>
    <w:basedOn w:val="899"/>
    <w:next w:val="936"/>
    <w:link w:val="953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37">
    <w:name w:val="Обычный (веб)"/>
    <w:basedOn w:val="899"/>
    <w:next w:val="937"/>
    <w:link w:val="899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38">
    <w:name w:val="Сетка таблицы"/>
    <w:basedOn w:val="910"/>
    <w:next w:val="938"/>
    <w:link w:val="899"/>
    <w:tblPr/>
  </w:style>
  <w:style w:type="paragraph" w:styleId="939">
    <w:name w:val="Заголовок"/>
    <w:next w:val="929"/>
    <w:link w:val="899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0">
    <w:name w:val="Обычный 1"/>
    <w:basedOn w:val="899"/>
    <w:next w:val="940"/>
    <w:link w:val="899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1">
    <w:name w:val="Обычный 1 Знак"/>
    <w:next w:val="941"/>
    <w:link w:val="899"/>
    <w:rPr>
      <w:rFonts w:ascii="Arial" w:hAnsi="Arial"/>
      <w:b/>
      <w:bCs/>
      <w:sz w:val="22"/>
      <w:lang w:val="en-US" w:eastAsia="ru-RU" w:bidi="ar-SA"/>
    </w:rPr>
  </w:style>
  <w:style w:type="character" w:styleId="942">
    <w:name w:val="Просмотренная гиперссылка"/>
    <w:next w:val="942"/>
    <w:link w:val="899"/>
    <w:rPr>
      <w:color w:val="800080"/>
      <w:u w:val="single"/>
    </w:rPr>
  </w:style>
  <w:style w:type="paragraph" w:styleId="943">
    <w:name w:val="Обычный + полужирный,По ширине"/>
    <w:basedOn w:val="901"/>
    <w:next w:val="943"/>
    <w:link w:val="899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44">
    <w:name w:val="Указатель 1"/>
    <w:basedOn w:val="899"/>
    <w:next w:val="899"/>
    <w:link w:val="899"/>
    <w:semiHidden/>
    <w:pPr>
      <w:ind w:left="240" w:hanging="240"/>
    </w:pPr>
  </w:style>
  <w:style w:type="paragraph" w:styleId="945">
    <w:name w:val="Указатель"/>
    <w:basedOn w:val="899"/>
    <w:next w:val="944"/>
    <w:link w:val="899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46">
    <w:name w:val="Название объекта"/>
    <w:basedOn w:val="899"/>
    <w:next w:val="899"/>
    <w:link w:val="899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47">
    <w:name w:val="Нумерованный список"/>
    <w:basedOn w:val="899"/>
    <w:next w:val="947"/>
    <w:link w:val="899"/>
    <w:pPr>
      <w:numPr>
        <w:ilvl w:val="0"/>
        <w:numId w:val="1"/>
      </w:numPr>
    </w:pPr>
  </w:style>
  <w:style w:type="character" w:styleId="948">
    <w:name w:val="комментарий"/>
    <w:next w:val="948"/>
    <w:link w:val="899"/>
    <w:rPr>
      <w:b/>
      <w:bCs/>
      <w:i/>
      <w:iCs/>
      <w:sz w:val="28"/>
    </w:rPr>
  </w:style>
  <w:style w:type="paragraph" w:styleId="949">
    <w:name w:val="Схема документа"/>
    <w:basedOn w:val="899"/>
    <w:next w:val="949"/>
    <w:link w:val="8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0">
    <w:name w:val="Абзац списка"/>
    <w:basedOn w:val="899"/>
    <w:next w:val="950"/>
    <w:link w:val="89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1">
    <w:name w:val=".EDA_PARAGRAPH"/>
    <w:next w:val="951"/>
    <w:link w:val="899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2">
    <w:name w:val=".MSONORMAL"/>
    <w:next w:val="952"/>
    <w:link w:val="899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3">
    <w:name w:val="Верхний колонтитул Знак"/>
    <w:next w:val="953"/>
    <w:link w:val="936"/>
    <w:uiPriority w:val="99"/>
    <w:rPr>
      <w:sz w:val="22"/>
    </w:rPr>
  </w:style>
  <w:style w:type="paragraph" w:styleId="954">
    <w:name w:val="МРСК_таблица_заголовок"/>
    <w:basedOn w:val="899"/>
    <w:next w:val="954"/>
    <w:link w:val="899"/>
    <w:pPr>
      <w:jc w:val="center"/>
      <w:keepNext/>
    </w:pPr>
    <w:rPr>
      <w:sz w:val="20"/>
      <w:szCs w:val="20"/>
    </w:rPr>
  </w:style>
  <w:style w:type="paragraph" w:styleId="955">
    <w:name w:val="МРСК_таблица_текст"/>
    <w:basedOn w:val="954"/>
    <w:next w:val="955"/>
    <w:link w:val="899"/>
    <w:pPr>
      <w:jc w:val="both"/>
    </w:pPr>
  </w:style>
  <w:style w:type="paragraph" w:styleId="956">
    <w:name w:val="МРСК_шрифт_абзаца"/>
    <w:basedOn w:val="899"/>
    <w:next w:val="956"/>
    <w:link w:val="95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57">
    <w:name w:val="МРСК_шрифт_абзаца Знак"/>
    <w:next w:val="957"/>
    <w:link w:val="956"/>
    <w:rPr>
      <w:sz w:val="24"/>
      <w:szCs w:val="24"/>
      <w:lang w:val="en-US" w:eastAsia="en-US"/>
    </w:rPr>
  </w:style>
  <w:style w:type="paragraph" w:styleId="958">
    <w:name w:val=".MSONORMALCXSPMIDDLE"/>
    <w:next w:val="958"/>
    <w:link w:val="899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59">
    <w:name w:val="Без интервала"/>
    <w:next w:val="959"/>
    <w:link w:val="960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0">
    <w:name w:val="Без интервала Знак"/>
    <w:next w:val="960"/>
    <w:link w:val="959"/>
    <w:uiPriority w:val="1"/>
    <w:rPr>
      <w:rFonts w:ascii="Calibri" w:hAnsi="Calibri"/>
      <w:sz w:val="22"/>
      <w:szCs w:val="22"/>
      <w:lang w:eastAsia="en-US"/>
    </w:rPr>
  </w:style>
  <w:style w:type="character" w:styleId="961">
    <w:name w:val="Знак примечания"/>
    <w:next w:val="961"/>
    <w:link w:val="899"/>
    <w:rPr>
      <w:sz w:val="16"/>
      <w:szCs w:val="16"/>
    </w:rPr>
  </w:style>
  <w:style w:type="paragraph" w:styleId="962">
    <w:name w:val="Текст примечания"/>
    <w:basedOn w:val="899"/>
    <w:next w:val="962"/>
    <w:link w:val="963"/>
    <w:rPr>
      <w:sz w:val="20"/>
      <w:szCs w:val="20"/>
    </w:rPr>
  </w:style>
  <w:style w:type="character" w:styleId="963">
    <w:name w:val="Текст примечания Знак"/>
    <w:basedOn w:val="909"/>
    <w:next w:val="963"/>
    <w:link w:val="962"/>
  </w:style>
  <w:style w:type="paragraph" w:styleId="964">
    <w:name w:val="Тема примечания"/>
    <w:basedOn w:val="962"/>
    <w:next w:val="962"/>
    <w:link w:val="965"/>
    <w:rPr>
      <w:b/>
      <w:bCs/>
    </w:rPr>
  </w:style>
  <w:style w:type="character" w:styleId="965">
    <w:name w:val="Тема примечания Знак"/>
    <w:next w:val="965"/>
    <w:link w:val="964"/>
    <w:rPr>
      <w:b/>
      <w:bCs/>
    </w:rPr>
  </w:style>
  <w:style w:type="paragraph" w:styleId="966">
    <w:name w:val="Рецензия"/>
    <w:next w:val="966"/>
    <w:link w:val="899"/>
    <w:hidden/>
    <w:uiPriority w:val="99"/>
    <w:semiHidden/>
    <w:rPr>
      <w:sz w:val="24"/>
      <w:szCs w:val="24"/>
      <w:lang w:val="ru-RU" w:eastAsia="ru-RU" w:bidi="ar-SA"/>
    </w:rPr>
  </w:style>
  <w:style w:type="paragraph" w:styleId="967">
    <w:name w:val="Default"/>
    <w:next w:val="967"/>
    <w:link w:val="899"/>
    <w:pPr>
      <w:spacing w:line="100" w:lineRule="atLeast"/>
    </w:pPr>
    <w:rPr>
      <w:rFonts w:eastAsia="SimSun"/>
      <w:color w:val="000000"/>
      <w:sz w:val="24"/>
      <w:szCs w:val="24"/>
      <w:lang w:val="ru-RU" w:eastAsia="hi-IN" w:bidi="hi-IN"/>
    </w:rPr>
  </w:style>
  <w:style w:type="paragraph" w:styleId="968">
    <w:name w:val="МРСК_заголовок_средний"/>
    <w:basedOn w:val="899"/>
    <w:next w:val="968"/>
    <w:link w:val="899"/>
    <w:pPr>
      <w:jc w:val="center"/>
      <w:keepNext/>
      <w:spacing w:before="240" w:after="120"/>
    </w:pPr>
    <w:rPr>
      <w:b/>
      <w:caps/>
      <w:sz w:val="28"/>
      <w:szCs w:val="28"/>
    </w:rPr>
  </w:style>
  <w:style w:type="character" w:styleId="969" w:default="1">
    <w:name w:val="Default Paragraph Font"/>
    <w:uiPriority w:val="1"/>
    <w:semiHidden/>
    <w:unhideWhenUsed/>
  </w:style>
  <w:style w:type="numbering" w:styleId="970" w:default="1">
    <w:name w:val="No List"/>
    <w:uiPriority w:val="99"/>
    <w:semiHidden/>
    <w:unhideWhenUsed/>
  </w:style>
  <w:style w:type="table" w:styleId="9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revision>16</cp:revision>
  <dcterms:created xsi:type="dcterms:W3CDTF">2023-09-05T06:42:00Z</dcterms:created>
  <dcterms:modified xsi:type="dcterms:W3CDTF">2025-03-27T02:22:13Z</dcterms:modified>
  <cp:version>1048576</cp:version>
</cp:coreProperties>
</file>